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60"/>
          <w:szCs w:val="60"/>
          <w:rtl w:val="0"/>
        </w:rPr>
        <w:t xml:space="preserve">Caractéristiques nécessaires au stockage du chapiteau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Dimensions de la remorque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Longueur : </w:t>
      </w:r>
      <w:r w:rsidDel="00000000" w:rsidR="00000000" w:rsidRPr="00000000">
        <w:rPr>
          <w:b w:val="1"/>
          <w:rtl w:val="0"/>
        </w:rPr>
        <w:t xml:space="preserve">6m50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Largeur : </w:t>
      </w:r>
      <w:r w:rsidDel="00000000" w:rsidR="00000000" w:rsidRPr="00000000">
        <w:rPr>
          <w:b w:val="1"/>
          <w:rtl w:val="0"/>
        </w:rPr>
        <w:t xml:space="preserve">2m10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Hauteur : </w:t>
      </w:r>
      <w:r w:rsidDel="00000000" w:rsidR="00000000" w:rsidRPr="00000000">
        <w:rPr>
          <w:b w:val="1"/>
          <w:rtl w:val="0"/>
        </w:rPr>
        <w:t xml:space="preserve">2M70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Surface au sol : </w:t>
      </w:r>
      <w:r w:rsidDel="00000000" w:rsidR="00000000" w:rsidRPr="00000000">
        <w:rPr>
          <w:b w:val="1"/>
          <w:rtl w:val="0"/>
        </w:rPr>
        <w:t xml:space="preserve">13,5m2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Surface nécessaire au matériel annexe (Bâches, platines, escabeaux, pieux d’ancrage, caisses et autres) :</w:t>
      </w:r>
      <w:r w:rsidDel="00000000" w:rsidR="00000000" w:rsidRPr="00000000">
        <w:rPr>
          <w:b w:val="1"/>
          <w:rtl w:val="0"/>
        </w:rPr>
        <w:t xml:space="preserve"> 6,5m2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Espace minimum de stockage nécessaire : 20m2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Accès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L’accès au lieu de stockage doit être suffisamment dégagé pour que la remorque puisse être amenée en véhicule et que celui ci puisse faire une manoeuvre. </w:t>
      </w:r>
      <w:r w:rsidDel="00000000" w:rsidR="00000000" w:rsidRPr="00000000">
        <w:rPr>
          <w:i w:val="1"/>
          <w:rtl w:val="0"/>
        </w:rPr>
        <w:t xml:space="preserve">cf Dimensions de la remorque+dimensions du véhicule tracteur.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Emplacement géographique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 lieu de stockage doit se trouver dans le grand lyon et accessible en transport en commun (à confirmer), tout autre emplacement devra être suffisamment proche de l’autoroute pour être considéré.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Précisions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 lieu de stockage doit être couvert, étanche, verrouillable et si possible sécurisé (alarme, caméras de surveillance)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